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6"/>
          <w:szCs w:val="26"/>
        </w:rPr>
      </w:pPr>
      <w:r w:rsidDel="00000000" w:rsidR="00000000" w:rsidRPr="00000000">
        <w:rPr>
          <w:b w:val="1"/>
          <w:sz w:val="26"/>
          <w:szCs w:val="26"/>
          <w:rtl w:val="0"/>
        </w:rPr>
        <w:t xml:space="preserve">Los sindicatos STEILAS, AFAPNA, ELA y UGT exigen al Departamento de Educación que inicie un proceso de negociación para mantener intactos todos los derechos del Profesorado Técnico de Formación Profesional</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1"/>
          <w:szCs w:val="21"/>
        </w:rPr>
      </w:pPr>
      <w:r w:rsidDel="00000000" w:rsidR="00000000" w:rsidRPr="00000000">
        <w:rPr>
          <w:sz w:val="21"/>
          <w:szCs w:val="21"/>
          <w:rtl w:val="0"/>
        </w:rPr>
        <w:t xml:space="preserve">Hoy, 23 de marzo, el pleno del Senado debatirá y votará el proyecto de Ley Orgánica de ordenación e integración de la Formación Profesional, que probablemente quede definitivamente aprobada. Esta nueva Ley ofrecía la posibilidad de solucionar el problema del Profesorado Técnico de Formación Profesional. Pero todo indica que se aprobará la nueva ley sin aceptar ninguna enmienda y que el Profesorado Técnico de FP que no tenga Grado universitario se quedará sin trabajo. </w:t>
      </w:r>
    </w:p>
    <w:p w:rsidR="00000000" w:rsidDel="00000000" w:rsidP="00000000" w:rsidRDefault="00000000" w:rsidRPr="00000000" w14:paraId="00000003">
      <w:pPr>
        <w:contextualSpacing w:val="0"/>
        <w:rPr>
          <w:sz w:val="21"/>
          <w:szCs w:val="21"/>
        </w:rPr>
      </w:pPr>
      <w:r w:rsidDel="00000000" w:rsidR="00000000" w:rsidRPr="00000000">
        <w:rPr>
          <w:rtl w:val="0"/>
        </w:rPr>
      </w:r>
    </w:p>
    <w:p w:rsidR="00000000" w:rsidDel="00000000" w:rsidP="00000000" w:rsidRDefault="00000000" w:rsidRPr="00000000" w14:paraId="00000004">
      <w:pPr>
        <w:contextualSpacing w:val="0"/>
        <w:rPr>
          <w:sz w:val="21"/>
          <w:szCs w:val="21"/>
        </w:rPr>
      </w:pPr>
      <w:r w:rsidDel="00000000" w:rsidR="00000000" w:rsidRPr="00000000">
        <w:rPr>
          <w:sz w:val="21"/>
          <w:szCs w:val="21"/>
          <w:rtl w:val="0"/>
        </w:rPr>
        <w:t xml:space="preserve">Hasta ahora a este profesorado técnico se le ha exigido un Grado universitario o el título de Técnico Superior o Técnico Especialista. Además en algunas especialidades la formación técnica para impartir estas enseñanzas difícilmente la ofrecen las universidades, con lo que </w:t>
      </w:r>
      <w:r w:rsidDel="00000000" w:rsidR="00000000" w:rsidRPr="00000000">
        <w:rPr>
          <w:color w:val="000000"/>
          <w:sz w:val="21"/>
          <w:szCs w:val="21"/>
          <w:rtl w:val="0"/>
        </w:rPr>
        <w:t xml:space="preserve">el personal docente</w:t>
      </w:r>
      <w:r w:rsidDel="00000000" w:rsidR="00000000" w:rsidRPr="00000000">
        <w:rPr>
          <w:color w:val="ff0000"/>
          <w:sz w:val="21"/>
          <w:szCs w:val="21"/>
          <w:rtl w:val="0"/>
        </w:rPr>
        <w:t xml:space="preserve"> </w:t>
      </w:r>
      <w:r w:rsidDel="00000000" w:rsidR="00000000" w:rsidRPr="00000000">
        <w:rPr>
          <w:sz w:val="21"/>
          <w:szCs w:val="21"/>
          <w:rtl w:val="0"/>
        </w:rPr>
        <w:t xml:space="preserve">con titulación Técnica Superior o Técnica Especialista resulta imprescindible. </w:t>
      </w:r>
    </w:p>
    <w:p w:rsidR="00000000" w:rsidDel="00000000" w:rsidP="00000000" w:rsidRDefault="00000000" w:rsidRPr="00000000" w14:paraId="00000005">
      <w:pPr>
        <w:contextualSpacing w:val="0"/>
        <w:rPr>
          <w:sz w:val="21"/>
          <w:szCs w:val="21"/>
        </w:rPr>
      </w:pPr>
      <w:r w:rsidDel="00000000" w:rsidR="00000000" w:rsidRPr="00000000">
        <w:rPr>
          <w:rtl w:val="0"/>
        </w:rPr>
      </w:r>
    </w:p>
    <w:p w:rsidR="00000000" w:rsidDel="00000000" w:rsidP="00000000" w:rsidRDefault="00000000" w:rsidRPr="00000000" w14:paraId="00000006">
      <w:pPr>
        <w:contextualSpacing w:val="0"/>
        <w:rPr>
          <w:color w:val="000000"/>
          <w:sz w:val="21"/>
          <w:szCs w:val="21"/>
        </w:rPr>
      </w:pPr>
      <w:r w:rsidDel="00000000" w:rsidR="00000000" w:rsidRPr="00000000">
        <w:rPr>
          <w:color w:val="000000"/>
          <w:sz w:val="21"/>
          <w:szCs w:val="21"/>
          <w:rtl w:val="0"/>
        </w:rPr>
        <w:t xml:space="preserve">Desde los sindicatos STEILAS, AFAPNA, ELA y UGT exigimos que no se deje de lado a este profesorado, que ha accedido a la Función Pública cumpliendo todos los requisitos exigidos y que en muchos casos, está actualmente cursando la formación pedagógica y didáctica necesaria para acceder a la docencia. Asimismo exigimos al Departamento de Educación que inicie cuanto antes un proceso de negociación, haciendo uso de sus competencias educativas, para mantener intactos todos los derechos del profesorado técnico, y, para mantener la calidad educativa de la propia Formación Profesional.</w:t>
      </w:r>
    </w:p>
    <w:p w:rsidR="00000000" w:rsidDel="00000000" w:rsidP="00000000" w:rsidRDefault="00000000" w:rsidRPr="00000000" w14:paraId="00000007">
      <w:pPr>
        <w:contextualSpacing w:val="0"/>
        <w:rPr>
          <w:color w:val="000000"/>
          <w:sz w:val="21"/>
          <w:szCs w:val="21"/>
        </w:rPr>
      </w:pPr>
      <w:r w:rsidDel="00000000" w:rsidR="00000000" w:rsidRPr="00000000">
        <w:rPr>
          <w:rtl w:val="0"/>
        </w:rPr>
      </w:r>
    </w:p>
    <w:p w:rsidR="00000000" w:rsidDel="00000000" w:rsidP="00000000" w:rsidRDefault="00000000" w:rsidRPr="00000000" w14:paraId="00000008">
      <w:pPr>
        <w:contextualSpacing w:val="0"/>
        <w:jc w:val="both"/>
        <w:rPr>
          <w:color w:val="000000"/>
          <w:sz w:val="21"/>
          <w:szCs w:val="21"/>
        </w:rPr>
      </w:pPr>
      <w:r w:rsidDel="00000000" w:rsidR="00000000" w:rsidRPr="00000000">
        <w:rPr>
          <w:color w:val="000000"/>
          <w:sz w:val="21"/>
          <w:szCs w:val="21"/>
          <w:rtl w:val="0"/>
        </w:rPr>
        <w:t xml:space="preserve">Por otra parte, la LOMLOE establece en su disposición adicional undécima que el profesorado técnico con titulación universitaria </w:t>
      </w:r>
      <w:r w:rsidDel="00000000" w:rsidR="00000000" w:rsidRPr="00000000">
        <w:rPr>
          <w:i w:val="1"/>
          <w:color w:val="000000"/>
          <w:sz w:val="21"/>
          <w:szCs w:val="21"/>
          <w:rtl w:val="0"/>
        </w:rPr>
        <w:t xml:space="preserve">“se integran en el cuerpo de profesores de enseñanza secundaria las especialidades de formación profesional incluidas en el cuerpo a extinguir de profesores técnicos de Formación Profesional…”</w:t>
      </w:r>
      <w:r w:rsidDel="00000000" w:rsidR="00000000" w:rsidRPr="00000000">
        <w:rPr>
          <w:color w:val="000000"/>
          <w:sz w:val="21"/>
          <w:szCs w:val="21"/>
          <w:rtl w:val="0"/>
        </w:rPr>
        <w:t xml:space="preserve"> Año y medio después, el Ministerio de Educación no solo no ha hecho efectiva esta disposición, sino que ni siquiera ha iniciado el proceso para desarrollarla. </w:t>
      </w:r>
    </w:p>
    <w:p w:rsidR="00000000" w:rsidDel="00000000" w:rsidP="00000000" w:rsidRDefault="00000000" w:rsidRPr="00000000" w14:paraId="00000009">
      <w:pP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A">
      <w:pPr>
        <w:contextualSpacing w:val="0"/>
        <w:jc w:val="both"/>
        <w:rPr>
          <w:color w:val="000000"/>
          <w:sz w:val="21"/>
          <w:szCs w:val="21"/>
        </w:rPr>
      </w:pPr>
      <w:r w:rsidDel="00000000" w:rsidR="00000000" w:rsidRPr="00000000">
        <w:rPr>
          <w:color w:val="000000"/>
          <w:sz w:val="21"/>
          <w:szCs w:val="21"/>
          <w:rtl w:val="0"/>
        </w:rPr>
        <w:t xml:space="preserve">Por lo que exigimos: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Integración inmediata en el Cuerpo de Secundaria de todo el profesorado de FP con la titulación universitaria.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Abrir negociaciones con los sindicatos para determinar las titulaciones equivalentes a efectos de docencia.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discriminación del profesorado de este cuerpo; A igual trabajo, iguales condiciones laborales y profesionales.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Una calidad educativa en nuestra FP. Recordamos que además de las habilidades técnicas que se adquieren en la empresa, se requieren las  competencias educativas que todo alumnado adquiere en los centros: aprender a aprender, responsabilidad social y compromiso ciudadano, habilidades en el uso de las Tecnologías, autonomía e iniciativa personal... por lo que no todos los ciclos educativos pueden pasar a DUAL, tal y como se está planteando en la futura normativa de FP.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STEILAS-AFAPNA-ELA-UGT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ab/>
        <w:tab/>
        <w:tab/>
        <w:tab/>
        <w:tab/>
        <w:tab/>
        <w:t xml:space="preserve">Pamplona, 23 de marzo de 2022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14">
      <w:pPr>
        <w:ind w:firstLine="0"/>
        <w:contextualSpacing w:val="0"/>
        <w:jc w:val="both"/>
        <w:rPr>
          <w:b w:val="1"/>
          <w:color w:val="000000"/>
          <w:sz w:val="21"/>
          <w:szCs w:val="21"/>
        </w:rPr>
      </w:pPr>
      <w:r w:rsidDel="00000000" w:rsidR="00000000" w:rsidRPr="00000000">
        <w:rPr>
          <w:b w:val="1"/>
          <w:color w:val="000000"/>
          <w:sz w:val="21"/>
          <w:szCs w:val="21"/>
          <w:rtl w:val="0"/>
        </w:rPr>
        <w:t xml:space="preserve">STEILAS, AFAPNA, ELA eta UGT sindikatuek, Lanbide Heziketako Irakasle Teknikoen eskubide guztiak bere horretan mantenduko dituen negoziazio prozesu bati ekiteko eskatu diote Hezkuntza Departamentuari.</w:t>
      </w:r>
    </w:p>
    <w:p w:rsidR="00000000" w:rsidDel="00000000" w:rsidP="00000000" w:rsidRDefault="00000000" w:rsidRPr="00000000" w14:paraId="00000015">
      <w:pPr>
        <w:ind w:firstLine="0"/>
        <w:contextualSpacing w:val="0"/>
        <w:jc w:val="both"/>
        <w:rPr>
          <w:color w:val="000000"/>
          <w:sz w:val="21"/>
          <w:szCs w:val="21"/>
        </w:rPr>
      </w:pPr>
      <w:r w:rsidDel="00000000" w:rsidR="00000000" w:rsidRPr="00000000">
        <w:rPr>
          <w:color w:val="000000"/>
          <w:sz w:val="21"/>
          <w:szCs w:val="21"/>
          <w:rtl w:val="0"/>
        </w:rPr>
        <w:br w:type="textWrapping"/>
        <w:br w:type="textWrapping"/>
        <w:t xml:space="preserve">Gaur, martxoak 23, Senatuko osoko bilkurak Lanbide Heziketa antolatu eta integratzeko Lege Organikoaren proiektua eztabaidatu eta bozkatuko du. Lege berri horrek Lanbide Heziketako Irakasle Teknikoen arazoa konpontzeko aukera ematen zuen. Baina badirudi lege berria onartuko dela zuzenketarik onartu gabe, eta unibertsitateko gradurik ez duten LHko irakasle teknikoak lanik gabe geratuko direla.</w:t>
      </w:r>
    </w:p>
    <w:p w:rsidR="00000000" w:rsidDel="00000000" w:rsidP="00000000" w:rsidRDefault="00000000" w:rsidRPr="00000000" w14:paraId="00000016">
      <w:pPr>
        <w:ind w:firstLine="0"/>
        <w:contextualSpacing w:val="0"/>
        <w:jc w:val="both"/>
        <w:rPr>
          <w:color w:val="000000"/>
          <w:sz w:val="21"/>
          <w:szCs w:val="21"/>
        </w:rPr>
      </w:pPr>
      <w:r w:rsidDel="00000000" w:rsidR="00000000" w:rsidRPr="00000000">
        <w:rPr>
          <w:color w:val="000000"/>
          <w:sz w:val="21"/>
          <w:szCs w:val="21"/>
          <w:rtl w:val="0"/>
        </w:rPr>
        <w:br w:type="textWrapping"/>
        <w:br w:type="textWrapping"/>
        <w:t xml:space="preserve">Orain arte, irakasle tekniko horiei unibertsitateko gradua edo goi-mailako teknikariaren edo teknikari espezialistaren titulua eskatu zaie. Gainera, zenbait espezialitatetan, irakaskuntza horiek emateko prestakuntza teknikoa nekez eskaintzen dute unibertsitateek, eta, beraz, ezinbestekoak dira goi-mailako titulazio teknikoa edo teknikari espezialista duten irakasleak.</w:t>
        <w:br w:type="textWrapping"/>
        <w:br w:type="textWrapping"/>
        <w:br w:type="textWrapping"/>
        <w:t xml:space="preserve">STEILAS, AFAPNA, ELA eta UGT sindikatuek eskatzen dugu irakasle horiek alde batera ez uzteko, eskatutako baldintza guztiak beteta sartu baitira Funtzio Publikoan, eta, kasu askotan, irakaskuntzan sartzeko beharrezkoa den prestakuntza pedagogikoa eta didaktikoa eskuratzen ari baitira gaur egun. Era berean, Hezkuntza Departamentuari eskatzen diogu lehenbailehen has dezala negoziazio-prozesu bat, bere hezkuntza-eskumenak erabiliz, irakasle teknikoen eskubide guztiak bere horretan mantentzeko eta Lanbide Heziketaren beraren hezkuntza-kalitateari eusteko.</w:t>
      </w:r>
    </w:p>
    <w:p w:rsidR="00000000" w:rsidDel="00000000" w:rsidP="00000000" w:rsidRDefault="00000000" w:rsidRPr="00000000" w14:paraId="00000017">
      <w:pPr>
        <w:ind w:firstLine="0"/>
        <w:contextualSpacing w:val="0"/>
        <w:jc w:val="both"/>
        <w:rPr/>
      </w:pPr>
      <w:r w:rsidDel="00000000" w:rsidR="00000000" w:rsidRPr="00000000">
        <w:rPr>
          <w:rtl w:val="0"/>
        </w:rPr>
      </w:r>
    </w:p>
    <w:p w:rsidR="00000000" w:rsidDel="00000000" w:rsidP="00000000" w:rsidRDefault="00000000" w:rsidRPr="00000000" w14:paraId="00000018">
      <w:pPr>
        <w:ind w:firstLine="0"/>
        <w:contextualSpacing w:val="0"/>
        <w:jc w:val="both"/>
        <w:rPr>
          <w:color w:val="000000"/>
          <w:sz w:val="21"/>
          <w:szCs w:val="21"/>
        </w:rPr>
      </w:pPr>
      <w:r w:rsidDel="00000000" w:rsidR="00000000" w:rsidRPr="00000000">
        <w:rPr>
          <w:color w:val="000000"/>
          <w:sz w:val="21"/>
          <w:szCs w:val="21"/>
          <w:rtl w:val="0"/>
        </w:rPr>
        <w:br w:type="textWrapping"/>
        <w:t xml:space="preserve">Bestetik, LOMLOEk hamaikagarren xedapen gehigarrian ezartzen duenez, unibertsitateko titulazioa duten irakasle teknikoak Bigarren Hezkuntzako irakasleen kidegoan sartzen dira. Urte eta erdi geroago, Hezkuntza Ministerioak xedapen hori ez gauzatzeaz gain, ez du hura garatzeko prozesua hasi ere egin.</w:t>
      </w:r>
    </w:p>
    <w:p w:rsidR="00000000" w:rsidDel="00000000" w:rsidP="00000000" w:rsidRDefault="00000000" w:rsidRPr="00000000" w14:paraId="00000019">
      <w:pPr>
        <w:ind w:firstLine="0"/>
        <w:contextualSpacing w:val="0"/>
        <w:jc w:val="both"/>
        <w:rPr>
          <w:color w:val="000000"/>
          <w:sz w:val="21"/>
          <w:szCs w:val="21"/>
        </w:rPr>
      </w:pPr>
      <w:r w:rsidDel="00000000" w:rsidR="00000000" w:rsidRPr="00000000">
        <w:rPr>
          <w:color w:val="000000"/>
          <w:sz w:val="21"/>
          <w:szCs w:val="21"/>
          <w:rtl w:val="0"/>
        </w:rPr>
        <w:br w:type="textWrapping"/>
        <w:br w:type="textWrapping"/>
        <w:t xml:space="preserve">Beraz, honako hau eskatzen dugu:</w:t>
      </w:r>
    </w:p>
    <w:p w:rsidR="00000000" w:rsidDel="00000000" w:rsidP="00000000" w:rsidRDefault="00000000" w:rsidRPr="00000000" w14:paraId="0000001A">
      <w:pPr>
        <w:ind w:firstLine="0"/>
        <w:contextualSpacing w:val="0"/>
        <w:jc w:val="both"/>
        <w:rPr>
          <w:color w:val="000000"/>
          <w:sz w:val="21"/>
          <w:szCs w:val="21"/>
        </w:rPr>
      </w:pPr>
      <w:r w:rsidDel="00000000" w:rsidR="00000000" w:rsidRPr="00000000">
        <w:rPr>
          <w:color w:val="000000"/>
          <w:sz w:val="21"/>
          <w:szCs w:val="21"/>
          <w:rtl w:val="0"/>
        </w:rPr>
        <w:t xml:space="preserve">1. Unibertsitateko titulazioa duten LHko irakasle guztiak berehala sartzea Bigarren Hezkuntzako Kidegoan.</w:t>
      </w:r>
    </w:p>
    <w:p w:rsidR="00000000" w:rsidDel="00000000" w:rsidP="00000000" w:rsidRDefault="00000000" w:rsidRPr="00000000" w14:paraId="0000001B">
      <w:pPr>
        <w:ind w:firstLine="0"/>
        <w:contextualSpacing w:val="0"/>
        <w:jc w:val="both"/>
        <w:rPr>
          <w:color w:val="000000"/>
          <w:sz w:val="21"/>
          <w:szCs w:val="21"/>
        </w:rPr>
      </w:pPr>
      <w:r w:rsidDel="00000000" w:rsidR="00000000" w:rsidRPr="00000000">
        <w:rPr>
          <w:color w:val="000000"/>
          <w:sz w:val="21"/>
          <w:szCs w:val="21"/>
          <w:rtl w:val="0"/>
        </w:rPr>
        <w:t xml:space="preserve">2. Sindikatuekin negoziazioak hastea irakaskuntzarako titulazio baliokideak zehazteko.</w:t>
      </w:r>
    </w:p>
    <w:p w:rsidR="00000000" w:rsidDel="00000000" w:rsidP="00000000" w:rsidRDefault="00000000" w:rsidRPr="00000000" w14:paraId="0000001C">
      <w:pPr>
        <w:ind w:firstLine="0"/>
        <w:contextualSpacing w:val="0"/>
        <w:jc w:val="both"/>
        <w:rPr>
          <w:color w:val="000000"/>
          <w:sz w:val="21"/>
          <w:szCs w:val="21"/>
        </w:rPr>
      </w:pPr>
      <w:r w:rsidDel="00000000" w:rsidR="00000000" w:rsidRPr="00000000">
        <w:rPr>
          <w:color w:val="000000"/>
          <w:sz w:val="21"/>
          <w:szCs w:val="21"/>
          <w:rtl w:val="0"/>
        </w:rPr>
        <w:t xml:space="preserve">3. Kidego honetako irakasleen diskriminazioari ez; lan berdina, lan-baldintza eta baldintza profesional berdinak.</w:t>
      </w:r>
    </w:p>
    <w:p w:rsidR="00000000" w:rsidDel="00000000" w:rsidP="00000000" w:rsidRDefault="00000000" w:rsidRPr="00000000" w14:paraId="0000001D">
      <w:pPr>
        <w:ind w:firstLine="0"/>
        <w:contextualSpacing w:val="0"/>
        <w:jc w:val="both"/>
        <w:rPr>
          <w:color w:val="000000"/>
          <w:sz w:val="21"/>
          <w:szCs w:val="21"/>
        </w:rPr>
      </w:pPr>
      <w:r w:rsidDel="00000000" w:rsidR="00000000" w:rsidRPr="00000000">
        <w:rPr>
          <w:color w:val="000000"/>
          <w:sz w:val="21"/>
          <w:szCs w:val="21"/>
          <w:rtl w:val="0"/>
        </w:rPr>
        <w:t xml:space="preserve">4. Hezkuntza-kalitatea gure Lanbide Heziketan. Gogorarazi nahi dugu enpresan eskuratzen diren trebetasun teknikoez gain, ikasle guztiek ikastetxeetan eskuratzen dituzten hezkuntza-gaitasunak ere behar direla: ikasten ikastea, gizarte-erantzukizuna eta herritarren konpromisoa, teknologiak erabiltzeko trebetasunak, autonomia eta ekimen pertsonala... Horregatik, hezkuntza-ziklo guztiak ezin dira DUALera pasatu, Lanbide Heziketaren etorkizuneko araudian planteatzen den bezala.</w:t>
      </w:r>
    </w:p>
    <w:p w:rsidR="00000000" w:rsidDel="00000000" w:rsidP="00000000" w:rsidRDefault="00000000" w:rsidRPr="00000000" w14:paraId="0000001E">
      <w:pPr>
        <w:ind w:firstLine="0"/>
        <w:contextualSpacing w:val="0"/>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b w:val="1"/>
          <w:i w:val="0"/>
          <w:smallCaps w:val="0"/>
          <w:strike w:val="0"/>
          <w:color w:val="000000"/>
          <w:sz w:val="21"/>
          <w:szCs w:val="21"/>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STEILAS-AFAPNA-ELA-UGT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tab/>
        <w:tab/>
        <w:tab/>
        <w:tab/>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Iruña, 2022ko martxoaren 23a</w:t>
      </w:r>
      <w:r w:rsidDel="00000000" w:rsidR="00000000" w:rsidRPr="00000000">
        <w:rPr>
          <w:rtl w:val="0"/>
        </w:rPr>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after="0" w:before="0" w:line="276" w:lineRule="auto"/>
      <w:jc w:val="left"/>
    </w:pPr>
    <w:rPr>
      <w:rFonts w:ascii="Arial" w:cs="Arial" w:eastAsia="Arial" w:hAnsi="Arial"/>
      <w:color w:val="auto"/>
      <w:kern w:val="0"/>
      <w:sz w:val="22"/>
      <w:szCs w:val="22"/>
      <w:lang w:bidi="ar-SA" w:eastAsia="es-ES" w:val="eu-ES"/>
    </w:rPr>
  </w:style>
  <w:style w:type="paragraph" w:styleId="Ttulo1">
    <w:name w:val="Heading 1"/>
    <w:basedOn w:val="Normal"/>
    <w:next w:val="Normal"/>
    <w:qFormat w:val="1"/>
    <w:pPr>
      <w:keepNext w:val="1"/>
      <w:keepLines w:val="1"/>
      <w:spacing w:after="120" w:before="400"/>
      <w:outlineLvl w:val="0"/>
    </w:pPr>
    <w:rPr>
      <w:sz w:val="40"/>
      <w:szCs w:val="40"/>
    </w:rPr>
  </w:style>
  <w:style w:type="paragraph" w:styleId="Ttulo2">
    <w:name w:val="Heading 2"/>
    <w:basedOn w:val="Normal"/>
    <w:next w:val="Normal"/>
    <w:qFormat w:val="1"/>
    <w:pPr>
      <w:keepNext w:val="1"/>
      <w:keepLines w:val="1"/>
      <w:spacing w:after="120" w:before="360"/>
      <w:outlineLvl w:val="1"/>
    </w:pPr>
    <w:rPr>
      <w:sz w:val="32"/>
      <w:szCs w:val="32"/>
    </w:rPr>
  </w:style>
  <w:style w:type="paragraph" w:styleId="Ttulo3">
    <w:name w:val="Heading 3"/>
    <w:basedOn w:val="Normal"/>
    <w:next w:val="Normal"/>
    <w:qFormat w:val="1"/>
    <w:pPr>
      <w:keepNext w:val="1"/>
      <w:keepLines w:val="1"/>
      <w:spacing w:after="80" w:before="320"/>
      <w:outlineLvl w:val="2"/>
    </w:pPr>
    <w:rPr>
      <w:color w:val="434343"/>
      <w:sz w:val="28"/>
      <w:szCs w:val="28"/>
    </w:rPr>
  </w:style>
  <w:style w:type="paragraph" w:styleId="Ttulo4">
    <w:name w:val="Heading 4"/>
    <w:basedOn w:val="Normal"/>
    <w:next w:val="Normal"/>
    <w:qFormat w:val="1"/>
    <w:pPr>
      <w:keepNext w:val="1"/>
      <w:keepLines w:val="1"/>
      <w:spacing w:after="80" w:before="280"/>
      <w:outlineLvl w:val="3"/>
    </w:pPr>
    <w:rPr>
      <w:color w:val="666666"/>
      <w:sz w:val="24"/>
      <w:szCs w:val="24"/>
    </w:rPr>
  </w:style>
  <w:style w:type="paragraph" w:styleId="Ttulo5">
    <w:name w:val="Heading 5"/>
    <w:basedOn w:val="Normal"/>
    <w:next w:val="Normal"/>
    <w:qFormat w:val="1"/>
    <w:pPr>
      <w:keepNext w:val="1"/>
      <w:keepLines w:val="1"/>
      <w:spacing w:after="80" w:before="240"/>
      <w:outlineLvl w:val="4"/>
    </w:pPr>
    <w:rPr>
      <w:color w:val="666666"/>
    </w:rPr>
  </w:style>
  <w:style w:type="paragraph" w:styleId="Ttulo6">
    <w:name w:val="Heading 6"/>
    <w:basedOn w:val="Normal"/>
    <w:next w:val="Normal"/>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paragraph" w:styleId="Ttulo">
    <w:name w:val="Título"/>
    <w:basedOn w:val="Normal"/>
    <w:next w:val="Cuerpodetexto"/>
    <w:qFormat w:val="1"/>
    <w:pPr>
      <w:keepNext w:val="1"/>
      <w:spacing w:after="120" w:before="240"/>
    </w:pPr>
    <w:rPr>
      <w:rFonts w:ascii="Liberation Sans" w:cs="Arial"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Arial"/>
    </w:rPr>
  </w:style>
  <w:style w:type="paragraph" w:styleId="Ley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lang w:bidi="zxx" w:eastAsia="zxx" w:val="zxx"/>
    </w:rPr>
  </w:style>
  <w:style w:type="paragraph" w:styleId="Ttulogeneral">
    <w:name w:val="Title"/>
    <w:basedOn w:val="Normal"/>
    <w:next w:val="Normal"/>
    <w:qFormat w:val="1"/>
    <w:pPr>
      <w:keepNext w:val="1"/>
      <w:keepLines w:val="1"/>
      <w:spacing w:after="60" w:before="0"/>
    </w:pPr>
    <w:rPr>
      <w:sz w:val="52"/>
      <w:szCs w:val="52"/>
    </w:rPr>
  </w:style>
  <w:style w:type="paragraph" w:styleId="Subttulo">
    <w:name w:val="Subtitle"/>
    <w:basedOn w:val="Normal"/>
    <w:next w:val="Normal"/>
    <w:qFormat w:val="1"/>
    <w:pPr>
      <w:keepNext w:val="1"/>
      <w:keepLines w:val="1"/>
      <w:spacing w:after="320" w:before="0"/>
    </w:pPr>
    <w:rPr>
      <w:color w:val="666666"/>
      <w:sz w:val="30"/>
      <w:szCs w:val="30"/>
    </w:rPr>
  </w:style>
  <w:style w:type="paragraph" w:styleId="ListParagraph">
    <w:name w:val="List Paragraph"/>
    <w:basedOn w:val="Normal"/>
    <w:uiPriority w:val="34"/>
    <w:qFormat w:val="1"/>
    <w:rsid w:val="00324291"/>
    <w:pPr>
      <w:spacing w:after="0" w:before="0"/>
      <w:ind w:left="720" w:hanging="0"/>
      <w:contextualSpacing w:val="1"/>
    </w:pPr>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