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A0" w:rsidRPr="00E53640" w:rsidRDefault="00A419A0" w:rsidP="00A419A0">
      <w:pPr>
        <w:tabs>
          <w:tab w:val="left" w:pos="720"/>
          <w:tab w:val="center" w:pos="3888"/>
        </w:tabs>
        <w:suppressAutoHyphens w:val="0"/>
        <w:spacing w:line="360" w:lineRule="auto"/>
        <w:jc w:val="center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ANEXO IV</w:t>
      </w:r>
    </w:p>
    <w:p w:rsidR="005D0B44" w:rsidRPr="00E53640" w:rsidRDefault="005D0B44" w:rsidP="00A419A0">
      <w:pPr>
        <w:tabs>
          <w:tab w:val="left" w:pos="720"/>
          <w:tab w:val="center" w:pos="3888"/>
        </w:tabs>
        <w:suppressAutoHyphens w:val="0"/>
        <w:spacing w:line="360" w:lineRule="auto"/>
        <w:jc w:val="center"/>
        <w:rPr>
          <w:rFonts w:ascii="Courier New" w:eastAsia="Times New Roman" w:hAnsi="Courier New" w:cs="Courier New"/>
          <w:kern w:val="0"/>
          <w:lang w:val="es-ES_tradnl" w:eastAsia="es-ES" w:bidi="ar-SA"/>
        </w:rPr>
      </w:pPr>
    </w:p>
    <w:p w:rsidR="00A419A0" w:rsidRPr="00E53640" w:rsidRDefault="00A419A0" w:rsidP="00A419A0">
      <w:pPr>
        <w:tabs>
          <w:tab w:val="left" w:pos="720"/>
          <w:tab w:val="center" w:pos="3888"/>
        </w:tabs>
        <w:suppressAutoHyphens w:val="0"/>
        <w:spacing w:line="360" w:lineRule="auto"/>
        <w:jc w:val="center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Criterios de valoración de las pruebas de la fase de oposición</w:t>
      </w:r>
    </w:p>
    <w:p w:rsidR="00A419A0" w:rsidRPr="00E53640" w:rsidRDefault="00A419A0" w:rsidP="00A419A0">
      <w:pPr>
        <w:tabs>
          <w:tab w:val="left" w:pos="720"/>
          <w:tab w:val="center" w:pos="3888"/>
        </w:tabs>
        <w:suppressAutoHyphens w:val="0"/>
        <w:spacing w:line="360" w:lineRule="auto"/>
        <w:jc w:val="center"/>
        <w:rPr>
          <w:rFonts w:ascii="Courier New" w:eastAsia="Times New Roman" w:hAnsi="Courier New" w:cs="Courier New"/>
          <w:kern w:val="0"/>
          <w:lang w:val="es-ES_tradnl" w:eastAsia="es-ES" w:bidi="ar-SA"/>
        </w:rPr>
      </w:pPr>
    </w:p>
    <w:p w:rsidR="00A419A0" w:rsidRPr="00E53640" w:rsidRDefault="00A419A0" w:rsidP="00A419A0">
      <w:pPr>
        <w:numPr>
          <w:ilvl w:val="0"/>
          <w:numId w:val="2"/>
        </w:numPr>
        <w:tabs>
          <w:tab w:val="left" w:pos="720"/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Consideraciones generales para el desarrollo de todas las pruebas escritas (entendiendo las programaciones didácticas como pruebas escritas).</w:t>
      </w:r>
    </w:p>
    <w:p w:rsidR="00A419A0" w:rsidRPr="00E53640" w:rsidRDefault="00A419A0" w:rsidP="00A419A0">
      <w:pPr>
        <w:tabs>
          <w:tab w:val="left" w:pos="720"/>
          <w:tab w:val="center" w:pos="3888"/>
        </w:tabs>
        <w:suppressAutoHyphens w:val="0"/>
        <w:spacing w:line="360" w:lineRule="auto"/>
        <w:ind w:left="72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 xml:space="preserve">La competencia lingüística, por ser una competencia fundamental en el desempeño de la labor docente, se valorará especialmente. Se comprobará el uso ortográfico y discursivo de la lengua </w:t>
      </w:r>
      <w:r w:rsidR="00711A21"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en la que se desarrolle la prueba</w:t>
      </w: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, atendiendo a los siguientes criterios: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29"/>
          <w:tab w:val="center" w:pos="3888"/>
        </w:tabs>
        <w:suppressAutoHyphens w:val="0"/>
        <w:spacing w:line="360" w:lineRule="auto"/>
        <w:ind w:left="1429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Faltas de ortografía: por cada falta de ortografía se restarán 0,25 puntos (solo se penalizará una única vez la misma palabra).</w:t>
      </w:r>
    </w:p>
    <w:p w:rsidR="00A419A0" w:rsidRPr="00E53640" w:rsidRDefault="00A419A0" w:rsidP="00A419A0">
      <w:pPr>
        <w:tabs>
          <w:tab w:val="center" w:pos="3888"/>
        </w:tabs>
        <w:suppressAutoHyphens w:val="0"/>
        <w:spacing w:line="360" w:lineRule="auto"/>
        <w:ind w:left="1418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Como referencia se debería tomar aquello que aparece en un diccionario de cualquiera de las lenguas en las que se desarrollarán las pruebas:</w:t>
      </w:r>
    </w:p>
    <w:p w:rsidR="00A419A0" w:rsidRPr="00E53640" w:rsidRDefault="008319EB" w:rsidP="00A419A0">
      <w:pPr>
        <w:numPr>
          <w:ilvl w:val="0"/>
          <w:numId w:val="1"/>
        </w:numPr>
        <w:tabs>
          <w:tab w:val="clear" w:pos="720"/>
          <w:tab w:val="num" w:pos="2138"/>
          <w:tab w:val="center" w:pos="3888"/>
        </w:tabs>
        <w:suppressAutoHyphens w:val="0"/>
        <w:spacing w:line="360" w:lineRule="auto"/>
        <w:ind w:left="2138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hyperlink r:id="rId6" w:history="1">
        <w:r w:rsidR="00A419A0" w:rsidRPr="00E53640">
          <w:rPr>
            <w:rStyle w:val="Hipervnculo"/>
            <w:rFonts w:ascii="Courier New" w:eastAsia="Times New Roman" w:hAnsi="Courier New" w:cs="Courier New"/>
            <w:color w:val="auto"/>
            <w:kern w:val="0"/>
            <w:lang w:val="es-ES_tradnl" w:eastAsia="es-ES" w:bidi="ar-SA"/>
          </w:rPr>
          <w:t>https://dle.rae.es/</w:t>
        </w:r>
      </w:hyperlink>
    </w:p>
    <w:p w:rsidR="00A419A0" w:rsidRPr="00E53640" w:rsidRDefault="008319EB" w:rsidP="00A419A0">
      <w:pPr>
        <w:numPr>
          <w:ilvl w:val="0"/>
          <w:numId w:val="1"/>
        </w:numPr>
        <w:tabs>
          <w:tab w:val="clear" w:pos="720"/>
          <w:tab w:val="num" w:pos="2138"/>
          <w:tab w:val="center" w:pos="3888"/>
        </w:tabs>
        <w:suppressAutoHyphens w:val="0"/>
        <w:spacing w:line="360" w:lineRule="auto"/>
        <w:ind w:left="2138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hyperlink r:id="rId7" w:history="1">
        <w:r w:rsidR="00A419A0" w:rsidRPr="00E53640">
          <w:rPr>
            <w:rStyle w:val="Hipervnculo"/>
            <w:rFonts w:ascii="Courier New" w:eastAsia="Times New Roman" w:hAnsi="Courier New" w:cs="Courier New"/>
            <w:color w:val="auto"/>
            <w:kern w:val="0"/>
            <w:lang w:val="es-ES_tradnl" w:eastAsia="es-ES" w:bidi="ar-SA"/>
          </w:rPr>
          <w:t>file:///C:/Users/X010331/AppData/Local/Temp/Principales_novedades_de_la_Ortografia_de_la_lengua_espanola.pdf</w:t>
        </w:r>
      </w:hyperlink>
    </w:p>
    <w:p w:rsidR="00A419A0" w:rsidRPr="00E53640" w:rsidRDefault="008319EB" w:rsidP="00A419A0">
      <w:pPr>
        <w:numPr>
          <w:ilvl w:val="0"/>
          <w:numId w:val="1"/>
        </w:numPr>
        <w:tabs>
          <w:tab w:val="clear" w:pos="720"/>
          <w:tab w:val="num" w:pos="2138"/>
          <w:tab w:val="center" w:pos="3888"/>
        </w:tabs>
        <w:suppressAutoHyphens w:val="0"/>
        <w:spacing w:line="360" w:lineRule="auto"/>
        <w:ind w:left="2138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hyperlink r:id="rId8" w:history="1">
        <w:r w:rsidR="00A419A0" w:rsidRPr="00E53640">
          <w:rPr>
            <w:rStyle w:val="Hipervnculo"/>
            <w:rFonts w:ascii="Courier New" w:eastAsia="Times New Roman" w:hAnsi="Courier New" w:cs="Courier New"/>
            <w:color w:val="auto"/>
            <w:kern w:val="0"/>
            <w:lang w:val="es-ES_tradnl" w:eastAsia="es-ES" w:bidi="ar-SA"/>
          </w:rPr>
          <w:t>https://w</w:t>
        </w:r>
        <w:bookmarkStart w:id="0" w:name="_GoBack"/>
        <w:bookmarkEnd w:id="0"/>
        <w:r w:rsidR="00A419A0" w:rsidRPr="00E53640">
          <w:rPr>
            <w:rStyle w:val="Hipervnculo"/>
            <w:rFonts w:ascii="Courier New" w:eastAsia="Times New Roman" w:hAnsi="Courier New" w:cs="Courier New"/>
            <w:color w:val="auto"/>
            <w:kern w:val="0"/>
            <w:lang w:val="es-ES_tradnl" w:eastAsia="es-ES" w:bidi="ar-SA"/>
          </w:rPr>
          <w:t>ww.euskaltzaindia.eus/index.php?option=com_hiztegianbilatu&amp;Itemid=410</w:t>
        </w:r>
      </w:hyperlink>
    </w:p>
    <w:p w:rsidR="000F1FE0" w:rsidRPr="008319EB" w:rsidRDefault="000F1FE0" w:rsidP="000F1FE0">
      <w:pPr>
        <w:numPr>
          <w:ilvl w:val="0"/>
          <w:numId w:val="1"/>
        </w:numPr>
        <w:tabs>
          <w:tab w:val="clear" w:pos="720"/>
          <w:tab w:val="num" w:pos="2138"/>
          <w:tab w:val="center" w:pos="3888"/>
        </w:tabs>
        <w:suppressAutoHyphens w:val="0"/>
        <w:spacing w:line="360" w:lineRule="auto"/>
        <w:ind w:left="2138"/>
        <w:jc w:val="both"/>
        <w:rPr>
          <w:rStyle w:val="Hipervnculo"/>
          <w:rFonts w:ascii="Courier New" w:eastAsia="Times New Roman" w:hAnsi="Courier New" w:cs="Courier New"/>
          <w:color w:val="auto"/>
          <w:u w:val="none"/>
          <w:lang w:val="en-US" w:eastAsia="es-ES" w:bidi="ar-SA"/>
        </w:rPr>
      </w:pPr>
      <w:r w:rsidRPr="008319EB">
        <w:rPr>
          <w:rStyle w:val="Hipervnculo"/>
          <w:rFonts w:ascii="Courier New" w:eastAsia="Times New Roman" w:hAnsi="Courier New" w:cs="Courier New"/>
          <w:color w:val="auto"/>
          <w:kern w:val="0"/>
          <w:u w:val="none"/>
          <w:lang w:val="en-US" w:eastAsia="es-ES" w:bidi="ar-SA"/>
        </w:rPr>
        <w:t>OXFORD ENGLISH DICTIONARY (inglés británico).</w:t>
      </w:r>
    </w:p>
    <w:p w:rsidR="000F1FE0" w:rsidRPr="008319EB" w:rsidRDefault="000F1FE0" w:rsidP="000F1FE0">
      <w:pPr>
        <w:numPr>
          <w:ilvl w:val="0"/>
          <w:numId w:val="1"/>
        </w:numPr>
        <w:tabs>
          <w:tab w:val="clear" w:pos="720"/>
          <w:tab w:val="num" w:pos="2138"/>
          <w:tab w:val="center" w:pos="3888"/>
        </w:tabs>
        <w:suppressAutoHyphens w:val="0"/>
        <w:spacing w:line="360" w:lineRule="auto"/>
        <w:ind w:left="2138"/>
        <w:jc w:val="both"/>
        <w:rPr>
          <w:rStyle w:val="Hipervnculo"/>
          <w:rFonts w:ascii="Courier New" w:eastAsia="Times New Roman" w:hAnsi="Courier New" w:cs="Courier New"/>
          <w:color w:val="auto"/>
          <w:kern w:val="0"/>
          <w:u w:val="none"/>
          <w:lang w:val="es-ES_tradnl" w:eastAsia="es-ES" w:bidi="ar-SA"/>
        </w:rPr>
      </w:pPr>
      <w:r w:rsidRPr="008319EB">
        <w:rPr>
          <w:rStyle w:val="Hipervnculo"/>
          <w:rFonts w:ascii="Courier New" w:eastAsia="Times New Roman" w:hAnsi="Courier New" w:cs="Courier New"/>
          <w:color w:val="auto"/>
          <w:kern w:val="0"/>
          <w:u w:val="none"/>
          <w:lang w:val="es-ES_tradnl" w:eastAsia="es-ES" w:bidi="ar-SA"/>
        </w:rPr>
        <w:t>MERRIAM WEBSTER (inglés americano).</w:t>
      </w:r>
    </w:p>
    <w:p w:rsidR="00A419A0" w:rsidRPr="000F1FE0" w:rsidRDefault="000F1FE0" w:rsidP="000F1FE0">
      <w:pPr>
        <w:tabs>
          <w:tab w:val="left" w:pos="720"/>
          <w:tab w:val="center" w:pos="3888"/>
        </w:tabs>
        <w:suppressAutoHyphens w:val="0"/>
        <w:spacing w:line="360" w:lineRule="auto"/>
        <w:ind w:left="72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>
        <w:rPr>
          <w:rFonts w:ascii="Courier New" w:eastAsia="Times New Roman" w:hAnsi="Courier New" w:cs="Courier New"/>
          <w:kern w:val="0"/>
          <w:lang w:val="es-ES_tradnl" w:eastAsia="es-ES" w:bidi="ar-SA"/>
        </w:rPr>
        <w:tab/>
      </w:r>
      <w:r w:rsidR="00A419A0"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En las pruebas que se realicen en castellano, incorrección en el uso de tildes: se restarán 0,25 puntos por cada error en el uso de tildes (solo se penalizará una única vez la misma palabra). Atención a las últimas actualizaciones realizadas por la RAE a este respecto</w:t>
      </w:r>
      <w:r w:rsidR="00E53640">
        <w:rPr>
          <w:rFonts w:ascii="Courier New" w:eastAsia="Times New Roman" w:hAnsi="Courier New" w:cs="Courier New"/>
          <w:kern w:val="0"/>
          <w:lang w:val="es-ES_tradnl" w:eastAsia="es-ES" w:bidi="ar-SA"/>
        </w:rPr>
        <w:t>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29"/>
          <w:tab w:val="center" w:pos="3888"/>
        </w:tabs>
        <w:suppressAutoHyphens w:val="0"/>
        <w:spacing w:line="360" w:lineRule="auto"/>
        <w:ind w:left="1429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lastRenderedPageBreak/>
        <w:t>Incorrección gramatical: por cada incoherencia gramatical se restarán 0,25 puntos.</w:t>
      </w:r>
    </w:p>
    <w:p w:rsidR="00E53640" w:rsidRDefault="00E53640" w:rsidP="00A419A0">
      <w:pPr>
        <w:tabs>
          <w:tab w:val="center" w:pos="3888"/>
        </w:tabs>
        <w:suppressAutoHyphens w:val="0"/>
        <w:spacing w:line="360" w:lineRule="auto"/>
        <w:ind w:left="709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</w:p>
    <w:p w:rsidR="00A419A0" w:rsidRPr="00E53640" w:rsidRDefault="00A419A0" w:rsidP="00A419A0">
      <w:pPr>
        <w:tabs>
          <w:tab w:val="center" w:pos="3888"/>
        </w:tabs>
        <w:suppressAutoHyphens w:val="0"/>
        <w:spacing w:line="360" w:lineRule="auto"/>
        <w:ind w:left="709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Los errores ortográficos y gramaticales se penalizarán hasta un máximo de un 20 por ciento de la puntuación total que corresponda a cada parte de las pruebas.</w:t>
      </w:r>
    </w:p>
    <w:p w:rsidR="00A419A0" w:rsidRDefault="00A419A0" w:rsidP="00A419A0">
      <w:pPr>
        <w:tabs>
          <w:tab w:val="center" w:pos="3888"/>
        </w:tabs>
        <w:suppressAutoHyphens w:val="0"/>
        <w:spacing w:line="360" w:lineRule="auto"/>
        <w:ind w:left="709"/>
        <w:jc w:val="both"/>
        <w:rPr>
          <w:rFonts w:ascii="Courier New" w:eastAsia="Times New Roman" w:hAnsi="Courier New" w:cs="Courier New"/>
          <w:color w:val="00B050"/>
          <w:kern w:val="0"/>
          <w:lang w:val="es-ES_tradnl" w:eastAsia="es-ES" w:bidi="ar-SA"/>
        </w:rPr>
      </w:pPr>
    </w:p>
    <w:p w:rsidR="00A419A0" w:rsidRPr="00E53640" w:rsidRDefault="00A419A0" w:rsidP="00A419A0">
      <w:pPr>
        <w:numPr>
          <w:ilvl w:val="0"/>
          <w:numId w:val="2"/>
        </w:numPr>
        <w:tabs>
          <w:tab w:val="left" w:pos="720"/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Primera prueba.</w:t>
      </w:r>
    </w:p>
    <w:p w:rsidR="00A419A0" w:rsidRPr="00E53640" w:rsidRDefault="00A419A0" w:rsidP="00A419A0">
      <w:pPr>
        <w:tabs>
          <w:tab w:val="center" w:pos="3888"/>
        </w:tabs>
        <w:suppressAutoHyphens w:val="0"/>
        <w:spacing w:line="360" w:lineRule="auto"/>
        <w:ind w:left="108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Parte A: Prueba práctica.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Formación científica (rigor técnico y conocimiento científico de la especialidad):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Justificación o fundamentación teórica del planteamiento.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Lenguaje técnico preciso y correcto. Aplicación de un conocimiento científico y técnico actualizado y riguroso de la especialidad.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En los supuestos prácticos relacionados con un proyecto didáctico: la realización de planteamientos didácticos y organizativos sustentados en conocimientos científicos, curriculares y pedagógicos.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Habilidades propias de la especialidad (dominio de habilidades técnicas de la especialidad, así como de estrategias y técnicas didáctico-pedagógicas):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Resolución correcta, ordenada y eficiente de los supuestos prácticos y sus partes.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La aplicación de estrategias técnicas y/o metodológicas adecuadas a las situaciones propuestas.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Según sea el caso, el dominio de habilidades técnicas en el uso de herramientas, instrumentos, protocolos y procedimientos propios de la especialidad.</w:t>
      </w:r>
    </w:p>
    <w:p w:rsidR="00A419A0" w:rsidRPr="00E53640" w:rsidRDefault="00A419A0" w:rsidP="00A419A0">
      <w:pPr>
        <w:tabs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</w:p>
    <w:p w:rsidR="00A419A0" w:rsidRPr="00E53640" w:rsidRDefault="00A419A0" w:rsidP="00A419A0">
      <w:pPr>
        <w:tabs>
          <w:tab w:val="center" w:pos="3888"/>
        </w:tabs>
        <w:suppressAutoHyphens w:val="0"/>
        <w:spacing w:line="360" w:lineRule="auto"/>
        <w:ind w:left="72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lastRenderedPageBreak/>
        <w:t>Parte B: Desarrollo escrito de un tema.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Organización del tema: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Justificación adecuada del tema.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Secuencia lógica y coherente en el desarrollo de todas las partes.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Desarrollo equilibrado del tema.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Contenido específico: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Nivel de actualización y profundización de los contenidos del tema.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Rigor y precisión en el uso del lenguaje técnico propio del tema.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Referencias bibliográficas adecuadas y actualizadas.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Menciones didácticas: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Relación del contenido del tema con el sistema educativo y con el currículo propio de la Comunidad Foral de Navarra y con el ejercicio de la práctica docente.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Formulación de propuestas didácticas originales o innovadoras en relación con el tema.</w:t>
      </w:r>
    </w:p>
    <w:p w:rsidR="00A419A0" w:rsidRPr="00E53640" w:rsidRDefault="00A419A0" w:rsidP="00A419A0">
      <w:pPr>
        <w:tabs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</w:p>
    <w:p w:rsidR="00A419A0" w:rsidRPr="00E53640" w:rsidRDefault="00A419A0" w:rsidP="00A419A0">
      <w:pPr>
        <w:numPr>
          <w:ilvl w:val="0"/>
          <w:numId w:val="2"/>
        </w:numPr>
        <w:tabs>
          <w:tab w:val="left" w:pos="720"/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Segunda prueba</w:t>
      </w:r>
    </w:p>
    <w:p w:rsidR="00A419A0" w:rsidRPr="00E53640" w:rsidRDefault="00A419A0" w:rsidP="00A419A0">
      <w:pPr>
        <w:tabs>
          <w:tab w:val="center" w:pos="3888"/>
        </w:tabs>
        <w:suppressAutoHyphens w:val="0"/>
        <w:spacing w:line="360" w:lineRule="auto"/>
        <w:ind w:left="72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Parte A: Presentación y defensa de la programación didáctica.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Requisitos formales:</w:t>
      </w:r>
    </w:p>
    <w:p w:rsidR="00A419A0" w:rsidRPr="00711A21" w:rsidRDefault="00A419A0" w:rsidP="00A419A0">
      <w:pPr>
        <w:tabs>
          <w:tab w:val="center" w:pos="3888"/>
        </w:tabs>
        <w:suppressAutoHyphens w:val="0"/>
        <w:spacing w:line="360" w:lineRule="auto"/>
        <w:ind w:left="709"/>
        <w:jc w:val="both"/>
        <w:rPr>
          <w:rFonts w:ascii="Courier New" w:eastAsia="Times New Roman" w:hAnsi="Courier New" w:cs="Courier New"/>
          <w:color w:val="FF0000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 xml:space="preserve">En el caso de que la programación didáctica no se ajuste a los requisitos formales establecidos en el Anexo V, se penalizará a la persona aspirante </w:t>
      </w:r>
      <w:r w:rsidRPr="0054705C">
        <w:rPr>
          <w:rFonts w:ascii="Courier New" w:eastAsia="Times New Roman" w:hAnsi="Courier New" w:cs="Courier New"/>
          <w:kern w:val="0"/>
          <w:lang w:val="es-ES_tradnl" w:eastAsia="es-ES" w:bidi="ar-SA"/>
        </w:rPr>
        <w:t>con el 50 por ciento de la puntuación asignada a esta part</w:t>
      </w: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e de la prueba. Los requisitos formales a los que se hac</w:t>
      </w:r>
      <w:r w:rsidR="00E53640">
        <w:rPr>
          <w:rFonts w:ascii="Courier New" w:eastAsia="Times New Roman" w:hAnsi="Courier New" w:cs="Courier New"/>
          <w:kern w:val="0"/>
          <w:lang w:val="es-ES_tradnl" w:eastAsia="es-ES" w:bidi="ar-SA"/>
        </w:rPr>
        <w:t>e referencia son los siguientes.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Organización: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lastRenderedPageBreak/>
        <w:t>Introducción, justificación y contextualización de la programación al currículo vigente en la Comunidad Foral de Navarra.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Los elementos que la componen, la coherencia de sus partes y la lógica de la secuenciación que se propone están bien planteados.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Contenido técnico: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La programación determina los elementos curriculares en coherencia con el nivel.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 xml:space="preserve">La programación </w:t>
      </w:r>
      <w:r w:rsidR="000462F1"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específica</w:t>
      </w: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 xml:space="preserve"> los criterios de evaluación y los estándares de aprendizaje, tanto de la adquisición de competencias clave como del logro de los objetivos.</w:t>
      </w:r>
      <w:r w:rsidR="00711A21"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 xml:space="preserve"> ORDENACIÓN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Contenido didáctico: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Metodología, materiales y recursos didácticos adecuados al curso.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Especificación de los procedimientos, herramientas, instrumentos y otros aspectos de la evaluación, conforme a la normativa de evaluación aplicable en la Comunidad Foral de Navarra.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Medidas de atención a la diversidad, con incidencia especial en las respuestas para el alumnado con necesidades específicas de apoyo educativo.</w:t>
      </w:r>
    </w:p>
    <w:p w:rsidR="00A419A0" w:rsidRPr="00E53640" w:rsidRDefault="00A419A0" w:rsidP="00A419A0">
      <w:pPr>
        <w:tabs>
          <w:tab w:val="center" w:pos="3888"/>
        </w:tabs>
        <w:suppressAutoHyphens w:val="0"/>
        <w:spacing w:line="360" w:lineRule="auto"/>
        <w:ind w:left="72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Parte B: Preparación y exposición de una unidad didáctica.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Aspectos generales: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Justificación y contextualización de la unidad didáctica en la programación o en el temario dela especialidad.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La unidad didáctica está bien estructurada y sus elementos son coherentes entre sí.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lastRenderedPageBreak/>
        <w:t>El aspirante realiza una exposición clara, ordenada, fluida y coherente.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Objetivos, contenidos y metodología: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 xml:space="preserve">Los objetivos de aprendizaje, los contenidos, los criterios de evaluación y los estándares de aprendizaje están bien planteados 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Se especifica la vinculación de los contenidos con el desarrollo de las competencias.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La propuesta metodológica se ajusta a las características del alumnado.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Actividades: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Actividades motivadoras, presentan distinto grado de dificultad para ajustarse a las características del alumnado y del curso.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Los materiales y recursos didácticos son atractivos, adecuados y variados.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Las actividades se ajustan a los objetivos de aprendizaje.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Evaluación: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Coherencia de los criterios de evaluación y los estándares de aprendizaje con los objetivos de aprendizaje.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Procedimiento, instrumentos de evaluación y criterios de calificación.</w:t>
      </w:r>
    </w:p>
    <w:p w:rsidR="00A419A0" w:rsidRPr="00E53640" w:rsidRDefault="00A419A0" w:rsidP="00A419A0">
      <w:pPr>
        <w:numPr>
          <w:ilvl w:val="0"/>
          <w:numId w:val="1"/>
        </w:numPr>
        <w:tabs>
          <w:tab w:val="clear" w:pos="720"/>
          <w:tab w:val="num" w:pos="1440"/>
          <w:tab w:val="center" w:pos="3888"/>
        </w:tabs>
        <w:suppressAutoHyphens w:val="0"/>
        <w:spacing w:line="360" w:lineRule="auto"/>
        <w:ind w:left="1440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E53640">
        <w:rPr>
          <w:rFonts w:ascii="Courier New" w:eastAsia="Times New Roman" w:hAnsi="Courier New" w:cs="Courier New"/>
          <w:kern w:val="0"/>
          <w:lang w:val="es-ES_tradnl" w:eastAsia="es-ES" w:bidi="ar-SA"/>
        </w:rPr>
        <w:t>Medidas de intervención dirigidas al alumnado que no alcanza los objetivos.</w:t>
      </w:r>
    </w:p>
    <w:p w:rsidR="00FF4AF1" w:rsidRPr="00E53640" w:rsidRDefault="00FF4AF1">
      <w:pPr>
        <w:rPr>
          <w:lang w:val="es-ES_tradnl"/>
        </w:rPr>
      </w:pPr>
    </w:p>
    <w:sectPr w:rsidR="00FF4AF1" w:rsidRPr="00E53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Liberation Serif" w:hAnsi="Liberation Serif"/>
      </w:rPr>
    </w:lvl>
  </w:abstractNum>
  <w:abstractNum w:abstractNumId="1" w15:restartNumberingAfterBreak="0">
    <w:nsid w:val="72D369B7"/>
    <w:multiLevelType w:val="hybridMultilevel"/>
    <w:tmpl w:val="3D08BD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46"/>
    <w:rsid w:val="000462F1"/>
    <w:rsid w:val="000F1FE0"/>
    <w:rsid w:val="001019C1"/>
    <w:rsid w:val="00215446"/>
    <w:rsid w:val="0054705C"/>
    <w:rsid w:val="005D0B44"/>
    <w:rsid w:val="00711A21"/>
    <w:rsid w:val="008319EB"/>
    <w:rsid w:val="00841DA2"/>
    <w:rsid w:val="009114CC"/>
    <w:rsid w:val="00A419A0"/>
    <w:rsid w:val="00C70E7D"/>
    <w:rsid w:val="00E53640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9491A-F8B2-477B-8A4C-4766425F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A0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419A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1FE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ltzaindia.eus/index.php?option=com_hiztegianbilatu&amp;Itemid=410" TargetMode="External"/><Relationship Id="rId3" Type="http://schemas.openxmlformats.org/officeDocument/2006/relationships/styles" Target="styles.xml"/><Relationship Id="rId7" Type="http://schemas.openxmlformats.org/officeDocument/2006/relationships/hyperlink" Target="file:///C:/Users/X010331/AppData/Local/Temp/Principales_novedades_de_la_Ortografia_de_la_lengua_espanol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le.rae.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F0A2A-687E-46A7-817C-DC5F5231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928</Words>
  <Characters>5108</Characters>
  <Application>Microsoft Office Word</Application>
  <DocSecurity>0</DocSecurity>
  <Lines>42</Lines>
  <Paragraphs>12</Paragraphs>
  <ScaleCrop>false</ScaleCrop>
  <Company>Gobierno de Navarra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x006706</dc:creator>
  <cp:keywords/>
  <dc:description/>
  <cp:lastModifiedBy>x006706</cp:lastModifiedBy>
  <cp:revision>11</cp:revision>
  <dcterms:created xsi:type="dcterms:W3CDTF">2021-11-22T14:18:00Z</dcterms:created>
  <dcterms:modified xsi:type="dcterms:W3CDTF">2021-11-26T12:51:00Z</dcterms:modified>
</cp:coreProperties>
</file>